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5736" w14:textId="33E4CDC4" w:rsidR="008A60D4" w:rsidRPr="004610EE" w:rsidRDefault="008A60D4" w:rsidP="008A60D4">
      <w:pPr>
        <w:jc w:val="center"/>
        <w:rPr>
          <w:b/>
          <w:bCs/>
          <w:sz w:val="28"/>
          <w:szCs w:val="28"/>
        </w:rPr>
      </w:pPr>
      <w:bookmarkStart w:id="0" w:name="_Hlk211354101"/>
      <w:r w:rsidRPr="008A60D4">
        <w:rPr>
          <w:b/>
          <w:bCs/>
          <w:sz w:val="28"/>
          <w:szCs w:val="28"/>
        </w:rPr>
        <w:t>A "pasztorális levelek"</w:t>
      </w:r>
    </w:p>
    <w:p w14:paraId="6D3AC49B" w14:textId="77777777" w:rsidR="004610EE" w:rsidRPr="004610EE" w:rsidRDefault="004610EE" w:rsidP="004610EE">
      <w:r w:rsidRPr="004610EE">
        <w:t>Paul Anton (1661–1730) német teológus és orientalista volt, aki jelentős tudományos munkásságot folytatott a Bibliai és keleti nyelvek, valamint a szövegkritika területén. Tanulmányait Berlinben és Halleban végezte, majd gimnáziumi tanárként és a keleti nyelvek oktatójaként dolgozott Göttingenben.</w:t>
      </w:r>
    </w:p>
    <w:p w14:paraId="02956D8A" w14:textId="77777777" w:rsidR="004610EE" w:rsidRPr="004610EE" w:rsidRDefault="004610EE" w:rsidP="004610EE">
      <w:r w:rsidRPr="004610EE">
        <w:rPr>
          <w:i/>
          <w:iCs/>
        </w:rPr>
        <w:t>Őt tartják az egyik elsőként a „pasztorális levelek” terminológia használójának,</w:t>
      </w:r>
      <w:r w:rsidRPr="004610EE">
        <w:t xml:space="preserve"> különösen 1726-ban tartott előadásai révén vált ismertté. Számos korabeli műve a keleti kéziratok és a Septuaginta kritikai elemzésével kapcsolatos, amelyek nagy hatással voltak a tudományos teológia fejlődésére.</w:t>
      </w:r>
    </w:p>
    <w:p w14:paraId="39980B18" w14:textId="77777777" w:rsidR="004610EE" w:rsidRPr="004610EE" w:rsidRDefault="004610EE" w:rsidP="004610EE">
      <w:r w:rsidRPr="004610EE">
        <w:t>Főbb munkái között szerepelnek többek között apostoli iratok, az Ó- és Újszövetségi szövegek keleti nyelveken való vizsgálata, valamint kritikai kiadások. Jelentős érdeme volt a bibliai szövegek pontosításában és a keleti egyházi jogtörténet kutatásában.</w:t>
      </w:r>
    </w:p>
    <w:p w14:paraId="18D4B0DB" w14:textId="77777777" w:rsidR="008A60D4" w:rsidRPr="008A60D4" w:rsidRDefault="008A60D4" w:rsidP="008A60D4">
      <w:r w:rsidRPr="008A60D4">
        <w:rPr>
          <w:b/>
          <w:bCs/>
        </w:rPr>
        <w:t>A pasztorális levelek kategóriájába tartoznak három Újszövetségi levél</w:t>
      </w:r>
      <w:r w:rsidRPr="008A60D4">
        <w:t>:</w:t>
      </w:r>
    </w:p>
    <w:p w14:paraId="656D00E4" w14:textId="631E08B9" w:rsidR="008A60D4" w:rsidRPr="008A60D4" w:rsidRDefault="008A60D4" w:rsidP="00D40F3B">
      <w:pPr>
        <w:pStyle w:val="Listaszerbekezds"/>
        <w:numPr>
          <w:ilvl w:val="1"/>
          <w:numId w:val="4"/>
        </w:numPr>
        <w:ind w:left="720" w:firstLine="360"/>
      </w:pPr>
      <w:r w:rsidRPr="008A60D4">
        <w:t>Timóteus levele</w:t>
      </w:r>
      <w:r w:rsidR="009B72DC">
        <w:t xml:space="preserve">, </w:t>
      </w:r>
      <w:r w:rsidRPr="008A60D4">
        <w:t>Titusz levele</w:t>
      </w:r>
    </w:p>
    <w:p w14:paraId="21C81860" w14:textId="12D23ECB" w:rsidR="008A60D4" w:rsidRPr="008A60D4" w:rsidRDefault="008A60D4" w:rsidP="008A60D4">
      <w:r w:rsidRPr="008A60D4">
        <w:t xml:space="preserve">E levelek egyedi jellemzője, hogy személyes hangvételűek és elsősorban gyülekezeti vezetőknek, pásztoroknak szólnak, utasításokat, tanácsokat adnak az egyházi szolgálatról és vezetésről. Ez a tartalom megkülönbözteti őket Pál apostol egyéb, helyi </w:t>
      </w:r>
      <w:r>
        <w:t>közösségeknek</w:t>
      </w:r>
      <w:r w:rsidRPr="008A60D4">
        <w:t xml:space="preserve"> írt leveleitől.</w:t>
      </w:r>
    </w:p>
    <w:p w14:paraId="145BE3C9" w14:textId="203558C3" w:rsidR="008A60D4" w:rsidRDefault="008A60D4" w:rsidP="008A60D4">
      <w:r w:rsidRPr="008A60D4">
        <w:t>A p</w:t>
      </w:r>
      <w:r>
        <w:t>a</w:t>
      </w:r>
      <w:r w:rsidRPr="008A60D4">
        <w:t>sztorális levelek kifejezés és kategória kialakulásáról írják, hogy a Muratori-kánon már a 2. században szent iratokként ismerte el őket, de kezdetben személyesnek tűnő jellegük miatt később váltak önálló könyvvé az Újszövetségen belül.</w:t>
      </w:r>
    </w:p>
    <w:p w14:paraId="0CD2B937" w14:textId="47F8FE36" w:rsidR="009B72DC" w:rsidRPr="009B72DC" w:rsidRDefault="009B72DC" w:rsidP="009B72DC">
      <w:pPr>
        <w:jc w:val="center"/>
        <w:rPr>
          <w:b/>
          <w:bCs/>
        </w:rPr>
      </w:pPr>
      <w:r w:rsidRPr="009B72DC">
        <w:rPr>
          <w:b/>
          <w:bCs/>
        </w:rPr>
        <w:t>Timóteus apostol élete:</w:t>
      </w:r>
    </w:p>
    <w:p w14:paraId="0B182B08" w14:textId="77777777" w:rsidR="009B72DC" w:rsidRPr="009B72DC" w:rsidRDefault="009B72DC" w:rsidP="009B72DC">
      <w:r w:rsidRPr="009B72DC">
        <w:t xml:space="preserve">Timóteus egy görög apától és zsidó anyától származott, </w:t>
      </w:r>
      <w:proofErr w:type="spellStart"/>
      <w:r w:rsidRPr="009B72DC">
        <w:t>Lisztra</w:t>
      </w:r>
      <w:proofErr w:type="spellEnd"/>
      <w:r w:rsidRPr="009B72DC">
        <w:t xml:space="preserve"> városából (</w:t>
      </w:r>
      <w:proofErr w:type="spellStart"/>
      <w:r w:rsidRPr="009B72DC">
        <w:t>Lükaónia</w:t>
      </w:r>
      <w:proofErr w:type="spellEnd"/>
      <w:r w:rsidRPr="009B72DC">
        <w:t xml:space="preserve"> tartomány). Édesanyja, </w:t>
      </w:r>
      <w:proofErr w:type="spellStart"/>
      <w:r w:rsidRPr="009B72DC">
        <w:t>Euniké</w:t>
      </w:r>
      <w:proofErr w:type="spellEnd"/>
      <w:r w:rsidRPr="009B72DC">
        <w:t xml:space="preserve">, és nagyanyja, </w:t>
      </w:r>
      <w:proofErr w:type="spellStart"/>
      <w:r w:rsidRPr="009B72DC">
        <w:t>Loisz</w:t>
      </w:r>
      <w:proofErr w:type="spellEnd"/>
      <w:r w:rsidRPr="009B72DC">
        <w:t xml:space="preserve">, buzgó zsidó keresztények voltak, akik valószínűleg nagy hatással voltak hitére és neveltetésére. Timóteus még fiatalon csatlakozott Pál apostol missziós útjaihoz, aki „az én igaz fiamnak a hitben” nevezte őt (1Timóteus 1:2). Szolgálata során állandóan Pál kíséretében volt, és fontos feladatokat bízott rá, mint például több gyülekezet képviselete, missziós munkák, valamint mint </w:t>
      </w:r>
      <w:proofErr w:type="spellStart"/>
      <w:r w:rsidRPr="009B72DC">
        <w:t>efézusi</w:t>
      </w:r>
      <w:proofErr w:type="spellEnd"/>
      <w:r w:rsidRPr="009B72DC">
        <w:t xml:space="preserve"> gyülekezet vezetője (püspöke).</w:t>
      </w:r>
    </w:p>
    <w:p w14:paraId="3937804A" w14:textId="77777777" w:rsidR="009B72DC" w:rsidRPr="009B72DC" w:rsidRDefault="009B72DC" w:rsidP="009B72DC">
      <w:r w:rsidRPr="009B72DC">
        <w:t xml:space="preserve">Timóteust Pál második fogsága idején Rómába hívta, ahol utolsó leveleihez is írt, majd valószínűleg visszatért </w:t>
      </w:r>
      <w:proofErr w:type="spellStart"/>
      <w:r w:rsidRPr="009B72DC">
        <w:t>Efezusba</w:t>
      </w:r>
      <w:proofErr w:type="spellEnd"/>
      <w:r w:rsidRPr="009B72DC">
        <w:t xml:space="preserve">. A hagyomány szerint </w:t>
      </w:r>
      <w:proofErr w:type="spellStart"/>
      <w:r w:rsidRPr="009B72DC">
        <w:t>Nerva</w:t>
      </w:r>
      <w:proofErr w:type="spellEnd"/>
      <w:r w:rsidRPr="009B72DC">
        <w:t xml:space="preserve"> császár alatt (Kr. u. 97) vértanúhalált halt, miután a helyi pogányok </w:t>
      </w:r>
      <w:proofErr w:type="spellStart"/>
      <w:r w:rsidRPr="009B72DC">
        <w:t>ellenálltak</w:t>
      </w:r>
      <w:proofErr w:type="spellEnd"/>
      <w:r w:rsidRPr="009B72DC">
        <w:t xml:space="preserve"> neki, mert a keresztény hitre figyelmeztette őket.</w:t>
      </w:r>
    </w:p>
    <w:p w14:paraId="21415B12" w14:textId="14F93498" w:rsidR="009B72DC" w:rsidRDefault="009B72DC" w:rsidP="009B72DC">
      <w:r w:rsidRPr="009B72DC">
        <w:t>Timóteus jellemében kiemelkedő volt hűsége, engedelmessége és kitartása, példaképe lett a későbbi keresztény vezetőknek.</w:t>
      </w:r>
    </w:p>
    <w:p w14:paraId="5C050366" w14:textId="0835063F" w:rsidR="009B72DC" w:rsidRPr="009B72DC" w:rsidRDefault="009B72DC" w:rsidP="009B72DC">
      <w:pPr>
        <w:jc w:val="center"/>
        <w:rPr>
          <w:b/>
          <w:bCs/>
        </w:rPr>
      </w:pPr>
      <w:r w:rsidRPr="009B72DC">
        <w:rPr>
          <w:b/>
          <w:bCs/>
        </w:rPr>
        <w:t>Címzett és keletkezési idő</w:t>
      </w:r>
    </w:p>
    <w:p w14:paraId="3B1F0682" w14:textId="77777777" w:rsidR="009B72DC" w:rsidRPr="009B72DC" w:rsidRDefault="009B72DC" w:rsidP="009B72DC">
      <w:r w:rsidRPr="009B72DC">
        <w:t xml:space="preserve">Az 1. és 2. Timóteus levelek címzettje egyértelműen Timóteus, Pál apostol hűséges munkatársa és tanítványa. A levelek személyes hangvételükkel egyénileg neki szólnak, Timóteusnak, aki az </w:t>
      </w:r>
      <w:proofErr w:type="spellStart"/>
      <w:r w:rsidRPr="009B72DC">
        <w:t>efezusi</w:t>
      </w:r>
      <w:proofErr w:type="spellEnd"/>
      <w:r w:rsidRPr="009B72DC">
        <w:t xml:space="preserve"> gyülekezet vezetőjeként, pásztorként szolgált.</w:t>
      </w:r>
    </w:p>
    <w:p w14:paraId="30498BFC" w14:textId="77777777" w:rsidR="009B72DC" w:rsidRPr="009B72DC" w:rsidRDefault="009B72DC" w:rsidP="009B72DC">
      <w:pPr>
        <w:numPr>
          <w:ilvl w:val="0"/>
          <w:numId w:val="7"/>
        </w:numPr>
      </w:pPr>
      <w:r w:rsidRPr="009B72DC">
        <w:t>Az 1. Timóteus levélben Pál út közbeni tanácsokat, pásztori utasításokat és egyházi vezetői iránymutatásokat ad Timóteusnak (</w:t>
      </w:r>
      <w:proofErr w:type="spellStart"/>
      <w:r w:rsidRPr="009B72DC">
        <w:t>Efezus</w:t>
      </w:r>
      <w:proofErr w:type="spellEnd"/>
      <w:r w:rsidRPr="009B72DC">
        <w:t xml:space="preserve"> püspökének).</w:t>
      </w:r>
    </w:p>
    <w:p w14:paraId="108C0576" w14:textId="77777777" w:rsidR="009B72DC" w:rsidRPr="009B72DC" w:rsidRDefault="009B72DC" w:rsidP="009B72DC">
      <w:pPr>
        <w:numPr>
          <w:ilvl w:val="0"/>
          <w:numId w:val="7"/>
        </w:numPr>
      </w:pPr>
      <w:r w:rsidRPr="009B72DC">
        <w:lastRenderedPageBreak/>
        <w:t>A 2. Timóteus levél, amelyet Pál az utolsó fogságának idején írt, szintén Timóteushoz szól, bátorítást és személyes intelmeket tartalmaz a hite megtartására és a szolgálatra való felkészülésre.</w:t>
      </w:r>
    </w:p>
    <w:p w14:paraId="7A7F60F8" w14:textId="77777777" w:rsidR="009B72DC" w:rsidRPr="009B72DC" w:rsidRDefault="009B72DC" w:rsidP="009B72DC"/>
    <w:p w14:paraId="5A31E694" w14:textId="77777777" w:rsidR="009B72DC" w:rsidRDefault="009B72DC" w:rsidP="008A60D4"/>
    <w:p w14:paraId="553E96B9" w14:textId="11B4A934" w:rsidR="009B72DC" w:rsidRPr="009B72DC" w:rsidRDefault="009B72DC" w:rsidP="009B72DC">
      <w:pPr>
        <w:jc w:val="center"/>
        <w:rPr>
          <w:b/>
          <w:bCs/>
        </w:rPr>
      </w:pPr>
      <w:r w:rsidRPr="009B72DC">
        <w:rPr>
          <w:b/>
          <w:bCs/>
        </w:rPr>
        <w:t>Az 1. és 2. Timóteus levelek szerkezete:</w:t>
      </w:r>
    </w:p>
    <w:p w14:paraId="5D29116B" w14:textId="77777777" w:rsidR="009B72DC" w:rsidRPr="009B72DC" w:rsidRDefault="009B72DC" w:rsidP="009B72DC">
      <w:pPr>
        <w:rPr>
          <w:b/>
          <w:bCs/>
        </w:rPr>
      </w:pPr>
      <w:r w:rsidRPr="009B72DC">
        <w:rPr>
          <w:b/>
          <w:bCs/>
        </w:rPr>
        <w:t>1. Timóteus levél szerkezete</w:t>
      </w:r>
    </w:p>
    <w:p w14:paraId="0B8E2A63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Bevezetés és köszöntés (1,1-2)</w:t>
      </w:r>
    </w:p>
    <w:p w14:paraId="67FCDCBF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Pál apostol hálája és imádsága Timóteusért (1,3-20)</w:t>
      </w:r>
    </w:p>
    <w:p w14:paraId="6AAD81D9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Utasítások a gyülekezet imádságairól és istentiszteleteiről (2,1-15)</w:t>
      </w:r>
    </w:p>
    <w:p w14:paraId="1D5B4258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Egyházi vezetők és diakónusok kiválasztási feltételei (3,1-13)</w:t>
      </w:r>
    </w:p>
    <w:p w14:paraId="510CDBA5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Az egyházi fegyelem és tanácsok (4,1-16)</w:t>
      </w:r>
    </w:p>
    <w:p w14:paraId="75533330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A gyülekezet tagjainak és különféle csoportoknak való tanácsok (5,1-6,2)</w:t>
      </w:r>
    </w:p>
    <w:p w14:paraId="13DFA802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Utolsó figyelmeztetések Timóteusnak a hamis tanítókkal szemben (6,3-21)</w:t>
      </w:r>
    </w:p>
    <w:p w14:paraId="063D1A0A" w14:textId="77777777" w:rsidR="009B72DC" w:rsidRPr="009B72DC" w:rsidRDefault="009B72DC" w:rsidP="009B72DC">
      <w:pPr>
        <w:numPr>
          <w:ilvl w:val="0"/>
          <w:numId w:val="5"/>
        </w:numPr>
      </w:pPr>
      <w:r w:rsidRPr="009B72DC">
        <w:t>Levél zárása és üdvözlet (6,20-21)</w:t>
      </w:r>
    </w:p>
    <w:p w14:paraId="711CA5C8" w14:textId="77777777" w:rsidR="009B72DC" w:rsidRPr="009B72DC" w:rsidRDefault="009B72DC" w:rsidP="009B72DC">
      <w:pPr>
        <w:rPr>
          <w:b/>
          <w:bCs/>
        </w:rPr>
      </w:pPr>
      <w:r w:rsidRPr="009B72DC">
        <w:rPr>
          <w:b/>
          <w:bCs/>
        </w:rPr>
        <w:t>2. Timóteus levél szerkezete</w:t>
      </w:r>
    </w:p>
    <w:p w14:paraId="7310D3AD" w14:textId="77777777" w:rsidR="009B72DC" w:rsidRPr="009B72DC" w:rsidRDefault="009B72DC" w:rsidP="009B72DC">
      <w:pPr>
        <w:numPr>
          <w:ilvl w:val="0"/>
          <w:numId w:val="6"/>
        </w:numPr>
      </w:pPr>
      <w:r w:rsidRPr="009B72DC">
        <w:t>Köszöntés és köszönet Timóteus hite iránt (1,1-18)</w:t>
      </w:r>
    </w:p>
    <w:p w14:paraId="679594F2" w14:textId="77777777" w:rsidR="009B72DC" w:rsidRPr="009B72DC" w:rsidRDefault="009B72DC" w:rsidP="009B72DC">
      <w:pPr>
        <w:numPr>
          <w:ilvl w:val="0"/>
          <w:numId w:val="6"/>
        </w:numPr>
      </w:pPr>
      <w:r w:rsidRPr="009B72DC">
        <w:t>Pál emlékezteti Timóteust a szolgálatra és a nehézségekre (2,1-26)</w:t>
      </w:r>
    </w:p>
    <w:p w14:paraId="708006EA" w14:textId="77777777" w:rsidR="009B72DC" w:rsidRPr="009B72DC" w:rsidRDefault="009B72DC" w:rsidP="009B72DC">
      <w:pPr>
        <w:numPr>
          <w:ilvl w:val="0"/>
          <w:numId w:val="6"/>
        </w:numPr>
      </w:pPr>
      <w:r w:rsidRPr="009B72DC">
        <w:t>Figyelmeztetések a tévtanítókkal szemben és buzdítás a kitartásra (3,1-17)</w:t>
      </w:r>
    </w:p>
    <w:p w14:paraId="7A963AA3" w14:textId="77777777" w:rsidR="009B72DC" w:rsidRPr="009B72DC" w:rsidRDefault="009B72DC" w:rsidP="009B72DC">
      <w:pPr>
        <w:numPr>
          <w:ilvl w:val="0"/>
          <w:numId w:val="6"/>
        </w:numPr>
      </w:pPr>
      <w:r w:rsidRPr="009B72DC">
        <w:t>Végső intelmek és szolgálati megbízatások (4,1-8)</w:t>
      </w:r>
    </w:p>
    <w:p w14:paraId="70547453" w14:textId="77777777" w:rsidR="009B72DC" w:rsidRPr="009B72DC" w:rsidRDefault="009B72DC" w:rsidP="009B72DC">
      <w:pPr>
        <w:numPr>
          <w:ilvl w:val="0"/>
          <w:numId w:val="6"/>
        </w:numPr>
      </w:pPr>
      <w:r w:rsidRPr="009B72DC">
        <w:t>Pál személyes helyzetének beszámolója, kérés, búcsú (4,9-22)</w:t>
      </w:r>
    </w:p>
    <w:p w14:paraId="72FF90C1" w14:textId="77777777" w:rsidR="009B72DC" w:rsidRPr="009B72DC" w:rsidRDefault="009B72DC" w:rsidP="009B72DC">
      <w:r w:rsidRPr="009B72DC">
        <w:t>Mindkét levél hangsúlyozza a hívek helyes hitvallását, a gyülekezeti rend és vezetés fontosságát, valamint a keresztény élet kitartását a nehézségek idején. Jellegzetesek a személyes, atyai hangvételű tanácsok is, amelyek Timóteus és a közösség szolgálatát segítik</w:t>
      </w:r>
    </w:p>
    <w:p w14:paraId="64F99564" w14:textId="77777777" w:rsidR="00FE591A" w:rsidRPr="00FE591A" w:rsidRDefault="00FE591A" w:rsidP="00FE591A">
      <w:pPr>
        <w:jc w:val="center"/>
        <w:rPr>
          <w:b/>
          <w:bCs/>
        </w:rPr>
      </w:pPr>
      <w:r w:rsidRPr="00FE591A">
        <w:rPr>
          <w:b/>
          <w:bCs/>
        </w:rPr>
        <w:t>Titus apostol élete és kapcsolata Pál apostollal:</w:t>
      </w:r>
    </w:p>
    <w:p w14:paraId="55E50E78" w14:textId="603F7229" w:rsidR="00FE591A" w:rsidRPr="00FE591A" w:rsidRDefault="00FE591A" w:rsidP="00FE591A">
      <w:r w:rsidRPr="00FE591A">
        <w:t>Titus görög származású volt, és pogány családból származott Kréta szigetén. Fiatal korában tanult hellén filozófiát, de nagybátyja biztatására, illetve a keresztény hit hatására megtért. Pál apostol</w:t>
      </w:r>
      <w:r>
        <w:t xml:space="preserve"> keresztelte meg</w:t>
      </w:r>
      <w:r w:rsidRPr="00FE591A">
        <w:t xml:space="preserve">, és közeli tanítványává vált, aki mellett missziós útjain is részt vett. Titus fontos szerepet töltött be az újonnan szerveződő keresztény egyházak életében, különösen </w:t>
      </w:r>
      <w:r w:rsidRPr="00FE591A">
        <w:rPr>
          <w:b/>
          <w:bCs/>
        </w:rPr>
        <w:t>Krétán,</w:t>
      </w:r>
      <w:r w:rsidRPr="00FE591A">
        <w:t xml:space="preserve"> ahol Pál apostol püspökké szentelte.</w:t>
      </w:r>
    </w:p>
    <w:p w14:paraId="4F68F612" w14:textId="77777777" w:rsidR="00FE591A" w:rsidRPr="00FE591A" w:rsidRDefault="00FE591A" w:rsidP="00FE591A">
      <w:r w:rsidRPr="00FE591A">
        <w:t>Feladatai közé tartozott az egyházi vezetők kinevezése és az új gyülekezetek megerősítése. Pál levele Tituszhoz személyes hangvételű útmutatásokat tartalmaz, melyek Titusz pásztori és adminisztratív feladataira vonatkoznak.</w:t>
      </w:r>
    </w:p>
    <w:p w14:paraId="08B500A3" w14:textId="77777777" w:rsidR="00FE591A" w:rsidRPr="00FE591A" w:rsidRDefault="00FE591A" w:rsidP="00FE591A">
      <w:r w:rsidRPr="00FE591A">
        <w:lastRenderedPageBreak/>
        <w:t>Titus és Pál kapcsolata meghitt és szoros volt: Titusz Pál hűséges segítője, helyettese és tiszttartója volt missziós munkáiban, és Pál egyik legmegbízhatóbb munkatársaként tartották számon.</w:t>
      </w:r>
    </w:p>
    <w:p w14:paraId="7056AE6C" w14:textId="79DD9EB3" w:rsidR="00FE591A" w:rsidRPr="00FE591A" w:rsidRDefault="00FE591A" w:rsidP="00FE591A">
      <w:pPr>
        <w:jc w:val="center"/>
        <w:rPr>
          <w:b/>
          <w:bCs/>
        </w:rPr>
      </w:pPr>
      <w:r w:rsidRPr="00FE591A">
        <w:rPr>
          <w:b/>
          <w:bCs/>
        </w:rPr>
        <w:t>A krétai keresztény egyház:</w:t>
      </w:r>
    </w:p>
    <w:p w14:paraId="486E534E" w14:textId="77777777" w:rsidR="00FE591A" w:rsidRPr="00FE591A" w:rsidRDefault="00FE591A" w:rsidP="00FE591A">
      <w:pPr>
        <w:rPr>
          <w:b/>
          <w:bCs/>
        </w:rPr>
      </w:pPr>
      <w:r w:rsidRPr="00FE591A">
        <w:rPr>
          <w:b/>
          <w:bCs/>
        </w:rPr>
        <w:t>Egyház alapítása</w:t>
      </w:r>
    </w:p>
    <w:p w14:paraId="4B7EAABB" w14:textId="77777777" w:rsidR="00FE591A" w:rsidRPr="00FE591A" w:rsidRDefault="00FE591A" w:rsidP="00FE591A">
      <w:pPr>
        <w:numPr>
          <w:ilvl w:val="0"/>
          <w:numId w:val="9"/>
        </w:numPr>
      </w:pPr>
      <w:r w:rsidRPr="00FE591A">
        <w:t>Pál apostolhoz kötődik Kréta keresztény közösségének megszervezése, aki a Tituszhoz írt levél szerint Tituszt hagyta Krétán, hogy "városról városra presbitereket rendeljen" (Titusz 1,5).</w:t>
      </w:r>
    </w:p>
    <w:p w14:paraId="5568A824" w14:textId="77777777" w:rsidR="00FE591A" w:rsidRPr="00FE591A" w:rsidRDefault="00FE591A" w:rsidP="00FE591A">
      <w:pPr>
        <w:numPr>
          <w:ilvl w:val="0"/>
          <w:numId w:val="9"/>
        </w:numPr>
      </w:pPr>
      <w:r w:rsidRPr="00FE591A">
        <w:t>Az Apostolok Cselekedeteiben Pál átkeléséről olvashatunk Krétára, bár ott őrizet alatt volt, és nem kifejezetten missziós útját dokumentálják (ApCsel 27,8-13).</w:t>
      </w:r>
    </w:p>
    <w:p w14:paraId="2B074F9C" w14:textId="77777777" w:rsidR="00FE591A" w:rsidRPr="00FE591A" w:rsidRDefault="00FE591A" w:rsidP="00FE591A">
      <w:pPr>
        <w:numPr>
          <w:ilvl w:val="0"/>
          <w:numId w:val="9"/>
        </w:numPr>
      </w:pPr>
      <w:r w:rsidRPr="00FE591A">
        <w:t>Kréta keresztény közössége a 1. század végére alakult ki, amikor a szigetet már a római provinciák egyike volt.</w:t>
      </w:r>
    </w:p>
    <w:p w14:paraId="5285E80A" w14:textId="77777777" w:rsidR="00FE591A" w:rsidRPr="00FE591A" w:rsidRDefault="00FE591A" w:rsidP="00FE591A">
      <w:pPr>
        <w:rPr>
          <w:b/>
          <w:bCs/>
        </w:rPr>
      </w:pPr>
      <w:r w:rsidRPr="00FE591A">
        <w:rPr>
          <w:b/>
          <w:bCs/>
        </w:rPr>
        <w:t>Etnikai összetétel</w:t>
      </w:r>
    </w:p>
    <w:p w14:paraId="7623B5B3" w14:textId="77777777" w:rsidR="00FE591A" w:rsidRPr="00FE591A" w:rsidRDefault="00FE591A" w:rsidP="00FE591A">
      <w:pPr>
        <w:numPr>
          <w:ilvl w:val="0"/>
          <w:numId w:val="10"/>
        </w:numPr>
      </w:pPr>
      <w:r w:rsidRPr="00FE591A">
        <w:t>Kréta a görög kultúra és lakosság területe volt, így a keresztény egyház tagjai elsősorban hellén pogányokból, illetve egy kisebb zsidó közösségből tevődtek össze.</w:t>
      </w:r>
    </w:p>
    <w:p w14:paraId="52FE8DB6" w14:textId="77777777" w:rsidR="00FE591A" w:rsidRPr="00FE591A" w:rsidRDefault="00FE591A" w:rsidP="00FE591A">
      <w:pPr>
        <w:numPr>
          <w:ilvl w:val="0"/>
          <w:numId w:val="10"/>
        </w:numPr>
      </w:pPr>
      <w:r w:rsidRPr="00FE591A">
        <w:t>A görög kultúra erős hatást gyakorolt az egyház fejlődésére, filozófiai és vallási szempontból egyaránt.</w:t>
      </w:r>
    </w:p>
    <w:p w14:paraId="0A8F585C" w14:textId="77777777" w:rsidR="00FE591A" w:rsidRPr="00FE591A" w:rsidRDefault="00FE591A" w:rsidP="00FE591A">
      <w:pPr>
        <w:rPr>
          <w:b/>
          <w:bCs/>
        </w:rPr>
      </w:pPr>
      <w:r w:rsidRPr="00FE591A">
        <w:rPr>
          <w:b/>
          <w:bCs/>
        </w:rPr>
        <w:t>Jellemzés az ókorban</w:t>
      </w:r>
    </w:p>
    <w:p w14:paraId="383D81B6" w14:textId="77777777" w:rsidR="00FE591A" w:rsidRPr="00FE591A" w:rsidRDefault="00FE591A" w:rsidP="00FE591A">
      <w:pPr>
        <w:numPr>
          <w:ilvl w:val="0"/>
          <w:numId w:val="11"/>
        </w:numPr>
      </w:pPr>
      <w:r w:rsidRPr="00FE591A">
        <w:t>Az egyházat jellemzően a Tituszhoz írt levél alapján szervezték, felváltva vagy megerősítve a belső vezető struktúrákat (presbiterek, püspökök).</w:t>
      </w:r>
    </w:p>
    <w:p w14:paraId="2AA5F71D" w14:textId="77777777" w:rsidR="00FE591A" w:rsidRPr="00FE591A" w:rsidRDefault="00FE591A" w:rsidP="00FE591A">
      <w:pPr>
        <w:numPr>
          <w:ilvl w:val="0"/>
          <w:numId w:val="11"/>
        </w:numPr>
      </w:pPr>
      <w:r w:rsidRPr="00FE591A">
        <w:t xml:space="preserve">Az egyház valószínűleg küzdött a </w:t>
      </w:r>
      <w:proofErr w:type="spellStart"/>
      <w:r w:rsidRPr="00FE591A">
        <w:t>tévtanítások</w:t>
      </w:r>
      <w:proofErr w:type="spellEnd"/>
      <w:r w:rsidRPr="00FE591A">
        <w:t xml:space="preserve"> és helyi kulturális konfliktusok ellen, amire Pál is figyelmeztet a Titusz levélben.</w:t>
      </w:r>
    </w:p>
    <w:p w14:paraId="3C05DEC4" w14:textId="77777777" w:rsidR="00FE591A" w:rsidRPr="00FE591A" w:rsidRDefault="00FE591A" w:rsidP="00FE591A">
      <w:pPr>
        <w:numPr>
          <w:ilvl w:val="0"/>
          <w:numId w:val="11"/>
        </w:numPr>
      </w:pPr>
      <w:r w:rsidRPr="00FE591A">
        <w:t>Kréta egyháza az idő előrehaladtával a keleti kereszténység fontos helyszínévé vált, később a Bizánci Birodalomhoz tartozott.</w:t>
      </w:r>
    </w:p>
    <w:p w14:paraId="693A8EC8" w14:textId="0E6436C1" w:rsidR="00FE591A" w:rsidRDefault="00FE591A" w:rsidP="00FE591A">
      <w:r w:rsidRPr="00FE591A">
        <w:t>Összegzésként a krétai egyház egy görög, pogány etnikumú korai keresztény közösség volt, amelyet Pál apostol szervezett meg, és ahol Titusz a vezető pásztori szerepet töltötte be a 1. század végén</w:t>
      </w:r>
      <w:r>
        <w:t>.</w:t>
      </w:r>
    </w:p>
    <w:p w14:paraId="0CC0A3B1" w14:textId="6CD43CF5" w:rsidR="00FE591A" w:rsidRPr="00FE591A" w:rsidRDefault="00FE591A" w:rsidP="00FE591A">
      <w:pPr>
        <w:jc w:val="center"/>
      </w:pPr>
      <w:r w:rsidRPr="00FE591A">
        <w:rPr>
          <w:b/>
          <w:bCs/>
        </w:rPr>
        <w:t>A Titusz levél szerkezete</w:t>
      </w:r>
      <w:r w:rsidRPr="00FE591A">
        <w:t>:</w:t>
      </w:r>
    </w:p>
    <w:p w14:paraId="555482FC" w14:textId="77777777" w:rsidR="00FE591A" w:rsidRPr="00FE591A" w:rsidRDefault="00FE591A" w:rsidP="00FE591A">
      <w:pPr>
        <w:numPr>
          <w:ilvl w:val="0"/>
          <w:numId w:val="8"/>
        </w:numPr>
      </w:pPr>
      <w:r w:rsidRPr="00FE591A">
        <w:rPr>
          <w:b/>
          <w:bCs/>
        </w:rPr>
        <w:t>Bevezetés, köszöntő (1,1-4):</w:t>
      </w:r>
      <w:r w:rsidRPr="00FE591A">
        <w:t> Pál bemutatkozik, és köszönti Tituszt, említve Isten szolgálatába állítását és az evangélium hirdetését.</w:t>
      </w:r>
    </w:p>
    <w:p w14:paraId="2631D48A" w14:textId="77777777" w:rsidR="00FE591A" w:rsidRPr="00FE591A" w:rsidRDefault="00FE591A" w:rsidP="00FE591A">
      <w:pPr>
        <w:numPr>
          <w:ilvl w:val="0"/>
          <w:numId w:val="8"/>
        </w:numPr>
      </w:pPr>
      <w:r w:rsidRPr="00FE591A">
        <w:rPr>
          <w:b/>
          <w:bCs/>
        </w:rPr>
        <w:t>Egyházi vezetők kiválasztási szempontjai Kréta szigetén (1,5-9):</w:t>
      </w:r>
      <w:r w:rsidRPr="00FE591A">
        <w:t> Titusz feladata a helyi egyházak szervezeteinek megerősítése, alkalmas presbiterek és püspökök kinevezése.</w:t>
      </w:r>
    </w:p>
    <w:p w14:paraId="60B3878D" w14:textId="77777777" w:rsidR="00FE591A" w:rsidRPr="00FE591A" w:rsidRDefault="00FE591A" w:rsidP="00FE591A">
      <w:pPr>
        <w:numPr>
          <w:ilvl w:val="0"/>
          <w:numId w:val="8"/>
        </w:numPr>
      </w:pPr>
      <w:r w:rsidRPr="00FE591A">
        <w:rPr>
          <w:b/>
          <w:bCs/>
        </w:rPr>
        <w:t xml:space="preserve">Feljegyzések a </w:t>
      </w:r>
      <w:proofErr w:type="spellStart"/>
      <w:r w:rsidRPr="00FE591A">
        <w:rPr>
          <w:b/>
          <w:bCs/>
        </w:rPr>
        <w:t>tévtanítókról</w:t>
      </w:r>
      <w:proofErr w:type="spellEnd"/>
      <w:r w:rsidRPr="00FE591A">
        <w:rPr>
          <w:b/>
          <w:bCs/>
        </w:rPr>
        <w:t xml:space="preserve"> (1,10-16):</w:t>
      </w:r>
      <w:r w:rsidRPr="00FE591A">
        <w:t> Az apostol figyelmezteti Tituszt a "zsidó mesékre" és az emberi parancsolatokra, kiváltképp a krétaiak rosszindulatára.</w:t>
      </w:r>
    </w:p>
    <w:p w14:paraId="626408C2" w14:textId="77777777" w:rsidR="00FE591A" w:rsidRPr="00FE591A" w:rsidRDefault="00FE591A" w:rsidP="00FE591A">
      <w:pPr>
        <w:numPr>
          <w:ilvl w:val="0"/>
          <w:numId w:val="8"/>
        </w:numPr>
      </w:pPr>
      <w:r w:rsidRPr="00FE591A">
        <w:rPr>
          <w:b/>
          <w:bCs/>
        </w:rPr>
        <w:t>Gyülekezeti tagoknak szóló gyakorlati tanácsok (2,1–15):</w:t>
      </w:r>
      <w:r w:rsidRPr="00FE591A">
        <w:t> Különböző társadalmi csoportok (idősök, fiatalok, szolgák) életmódjára vonatkozó iránymutatások.</w:t>
      </w:r>
    </w:p>
    <w:p w14:paraId="32B0E0D4" w14:textId="77777777" w:rsidR="00FE591A" w:rsidRPr="00FE591A" w:rsidRDefault="00FE591A" w:rsidP="00FE591A">
      <w:pPr>
        <w:numPr>
          <w:ilvl w:val="0"/>
          <w:numId w:val="8"/>
        </w:numPr>
      </w:pPr>
      <w:r w:rsidRPr="00FE591A">
        <w:rPr>
          <w:b/>
          <w:bCs/>
        </w:rPr>
        <w:lastRenderedPageBreak/>
        <w:t>Összefoglalás a kegyelem jelentőségéről (3,1-7):</w:t>
      </w:r>
      <w:r w:rsidRPr="00FE591A">
        <w:t> Az isteni kegyelem és megváltás fontossága a keresztény életben.</w:t>
      </w:r>
    </w:p>
    <w:p w14:paraId="46AE0380" w14:textId="77777777" w:rsidR="00FE591A" w:rsidRPr="00FE591A" w:rsidRDefault="00FE591A" w:rsidP="00FE591A">
      <w:pPr>
        <w:numPr>
          <w:ilvl w:val="0"/>
          <w:numId w:val="8"/>
        </w:numPr>
      </w:pPr>
      <w:r w:rsidRPr="00FE591A">
        <w:rPr>
          <w:b/>
          <w:bCs/>
        </w:rPr>
        <w:t>Figyelmeztetések a helyes tanítás és a jó magatartás megőrzésére (3,8-11):</w:t>
      </w:r>
      <w:r w:rsidRPr="00FE591A">
        <w:t> Kerülni kell a vitákat és a hamis tanítókat.</w:t>
      </w:r>
    </w:p>
    <w:p w14:paraId="1CC92137" w14:textId="77777777" w:rsidR="00FE591A" w:rsidRPr="00FE591A" w:rsidRDefault="00FE591A" w:rsidP="00FE591A">
      <w:pPr>
        <w:numPr>
          <w:ilvl w:val="0"/>
          <w:numId w:val="8"/>
        </w:numPr>
      </w:pPr>
      <w:r w:rsidRPr="00FE591A">
        <w:rPr>
          <w:b/>
          <w:bCs/>
        </w:rPr>
        <w:t>Zárómegbízások, üdvözletek (3,12-15):</w:t>
      </w:r>
      <w:r w:rsidRPr="00FE591A">
        <w:t> Pál gyakorlati utasításokat és személyes üdvözleteket küld Titusznak.</w:t>
      </w:r>
    </w:p>
    <w:p w14:paraId="6B0BFB0B" w14:textId="77777777" w:rsidR="00FE591A" w:rsidRPr="00FE591A" w:rsidRDefault="00FE591A" w:rsidP="00FE591A">
      <w:r w:rsidRPr="00FE591A">
        <w:t xml:space="preserve">A levél fő témája az egyházi rend helyreállítása, a </w:t>
      </w:r>
      <w:proofErr w:type="spellStart"/>
      <w:r w:rsidRPr="00FE591A">
        <w:t>tévtanítások</w:t>
      </w:r>
      <w:proofErr w:type="spellEnd"/>
      <w:r w:rsidRPr="00FE591A">
        <w:t xml:space="preserve"> elleni küzdelem és a keresztény élet szabályozása Kréta gyülekezeteiben, személyre szabottan Titusz pásztori szolgálatára alapozva.</w:t>
      </w:r>
    </w:p>
    <w:p w14:paraId="6F2A0235" w14:textId="14B09063" w:rsidR="00FE591A" w:rsidRPr="00FE591A" w:rsidRDefault="00FE591A" w:rsidP="00FE591A">
      <w:pPr>
        <w:jc w:val="center"/>
        <w:rPr>
          <w:b/>
          <w:bCs/>
        </w:rPr>
      </w:pPr>
      <w:proofErr w:type="gramStart"/>
      <w:r w:rsidRPr="00FE591A">
        <w:rPr>
          <w:b/>
          <w:bCs/>
        </w:rPr>
        <w:t>Tévtanítók  Krétán</w:t>
      </w:r>
      <w:proofErr w:type="gramEnd"/>
    </w:p>
    <w:p w14:paraId="39A39C06" w14:textId="77777777" w:rsidR="00FE591A" w:rsidRPr="00FE591A" w:rsidRDefault="00FE591A" w:rsidP="00FE591A">
      <w:pPr>
        <w:numPr>
          <w:ilvl w:val="0"/>
          <w:numId w:val="12"/>
        </w:numPr>
      </w:pPr>
      <w:r w:rsidRPr="00FE591A">
        <w:t>A mózesi törvény szigorú betartatásának követelése, amelyhez a megtért keresztényeket is kötötték, így akarták őket a törvényhez visszavezetni.</w:t>
      </w:r>
    </w:p>
    <w:p w14:paraId="54A553E4" w14:textId="414AC1F7" w:rsidR="00FE591A" w:rsidRPr="00FE591A" w:rsidRDefault="00FE591A" w:rsidP="00FE591A">
      <w:pPr>
        <w:numPr>
          <w:ilvl w:val="0"/>
          <w:numId w:val="12"/>
        </w:numPr>
      </w:pPr>
      <w:r w:rsidRPr="00FE591A">
        <w:t>Pénzszerzés céljából folytattak tanítói tevékenységet (1 Timóteus 6</w:t>
      </w:r>
      <w:r>
        <w:t>,</w:t>
      </w:r>
      <w:r w:rsidRPr="00FE591A">
        <w:t>5).</w:t>
      </w:r>
    </w:p>
    <w:p w14:paraId="65903721" w14:textId="7BD19CB4" w:rsidR="00FE591A" w:rsidRPr="00FE591A" w:rsidRDefault="00FE591A" w:rsidP="00FE591A">
      <w:pPr>
        <w:numPr>
          <w:ilvl w:val="0"/>
          <w:numId w:val="12"/>
        </w:numPr>
      </w:pPr>
      <w:r w:rsidRPr="00FE591A">
        <w:t>Hajlamosak voltak vitatkozni, spekulatív teológiát művelni, gyakran emberi hagyományokat és "zsidó meséket" terjeszteni (Titusz 1</w:t>
      </w:r>
      <w:r>
        <w:t>,</w:t>
      </w:r>
      <w:r w:rsidRPr="00FE591A">
        <w:t>14; 1 Timóteus 1</w:t>
      </w:r>
      <w:r>
        <w:t>,</w:t>
      </w:r>
      <w:r w:rsidRPr="00FE591A">
        <w:t>4).</w:t>
      </w:r>
    </w:p>
    <w:p w14:paraId="689FDD01" w14:textId="479017A4" w:rsidR="00FE591A" w:rsidRPr="00FE591A" w:rsidRDefault="00FE591A" w:rsidP="00FE591A">
      <w:pPr>
        <w:numPr>
          <w:ilvl w:val="0"/>
          <w:numId w:val="12"/>
        </w:numPr>
      </w:pPr>
      <w:r w:rsidRPr="00FE591A">
        <w:t>Egyesek "nemzetségtáblázatokkal" (genealógiák) próbálták igazolni állításaikat (1 Timóteus 1</w:t>
      </w:r>
      <w:r>
        <w:t>,</w:t>
      </w:r>
      <w:r w:rsidRPr="00FE591A">
        <w:t>4; Titusz 3</w:t>
      </w:r>
      <w:r>
        <w:t>,</w:t>
      </w:r>
      <w:r w:rsidRPr="00FE591A">
        <w:t>9).</w:t>
      </w:r>
    </w:p>
    <w:p w14:paraId="57EE5E68" w14:textId="3FD2849D" w:rsidR="00FE591A" w:rsidRPr="00FE591A" w:rsidRDefault="00FE591A" w:rsidP="00FE591A">
      <w:pPr>
        <w:numPr>
          <w:ilvl w:val="0"/>
          <w:numId w:val="12"/>
        </w:numPr>
      </w:pPr>
      <w:r w:rsidRPr="00FE591A">
        <w:t>Erkölcstelenség és hitetlenség jellemezte életüket, miközben azt hangoztatták, hogy ismerik Istent (Titusz 1</w:t>
      </w:r>
      <w:r>
        <w:t>,</w:t>
      </w:r>
      <w:r w:rsidRPr="00FE591A">
        <w:t>15-16).</w:t>
      </w:r>
    </w:p>
    <w:p w14:paraId="6EA89CF6" w14:textId="5FB97A2F" w:rsidR="00FE591A" w:rsidRPr="00FE591A" w:rsidRDefault="00FE591A" w:rsidP="00FE591A">
      <w:pPr>
        <w:numPr>
          <w:ilvl w:val="0"/>
          <w:numId w:val="12"/>
        </w:numPr>
      </w:pPr>
      <w:proofErr w:type="spellStart"/>
      <w:r w:rsidRPr="00FE591A">
        <w:t>Epimenidész</w:t>
      </w:r>
      <w:proofErr w:type="spellEnd"/>
      <w:r w:rsidRPr="00FE591A">
        <w:t xml:space="preserve"> krétai költőtől vett idézet Pál leveleiben így jellemzi őket: „A krétaiak mindig hazudnak, gonosz fenevadak és falánk naplopók” (Titusz 1</w:t>
      </w:r>
      <w:r>
        <w:t>,</w:t>
      </w:r>
      <w:r w:rsidRPr="00FE591A">
        <w:t>12).</w:t>
      </w:r>
    </w:p>
    <w:p w14:paraId="559A79C2" w14:textId="6D1E5A39" w:rsidR="00FE591A" w:rsidRPr="00FE591A" w:rsidRDefault="00FE591A" w:rsidP="00FE591A">
      <w:r w:rsidRPr="00FE591A">
        <w:t>Ezek a tanítók komoly problémát jelentettek a korai krétai keresztény egyház életében, amire Pál apostol a Tituszhoz írt levélben keményen figyelmezteti Tituszt, hogy szigorúan fellépjen velük szemben, és őrizze meg az „egészséges tanítást” (Titusz 1</w:t>
      </w:r>
      <w:r>
        <w:t>,</w:t>
      </w:r>
      <w:r w:rsidRPr="00FE591A">
        <w:t>9; 2</w:t>
      </w:r>
      <w:r>
        <w:t>,</w:t>
      </w:r>
      <w:r w:rsidRPr="00FE591A">
        <w:t>1).</w:t>
      </w:r>
    </w:p>
    <w:p w14:paraId="4465E55D" w14:textId="63A47F63" w:rsidR="004610EE" w:rsidRPr="004610EE" w:rsidRDefault="004610EE" w:rsidP="004610EE">
      <w:pPr>
        <w:jc w:val="center"/>
        <w:rPr>
          <w:b/>
          <w:bCs/>
        </w:rPr>
      </w:pPr>
      <w:r w:rsidRPr="004610EE">
        <w:rPr>
          <w:b/>
          <w:bCs/>
        </w:rPr>
        <w:t xml:space="preserve">Az 1. és 2. </w:t>
      </w:r>
      <w:proofErr w:type="gramStart"/>
      <w:r w:rsidRPr="004610EE">
        <w:rPr>
          <w:b/>
          <w:bCs/>
        </w:rPr>
        <w:t>Timóteus</w:t>
      </w:r>
      <w:proofErr w:type="gramEnd"/>
      <w:r w:rsidRPr="004610EE">
        <w:rPr>
          <w:b/>
          <w:bCs/>
        </w:rPr>
        <w:t xml:space="preserve"> valamint a Titusz levelek legrégebbi kódexei</w:t>
      </w:r>
    </w:p>
    <w:p w14:paraId="141CEEF0" w14:textId="77777777" w:rsidR="004610EE" w:rsidRPr="004610EE" w:rsidRDefault="004610EE" w:rsidP="004610EE">
      <w:pPr>
        <w:numPr>
          <w:ilvl w:val="0"/>
          <w:numId w:val="13"/>
        </w:numPr>
      </w:pPr>
      <w:proofErr w:type="spellStart"/>
      <w:r w:rsidRPr="004610EE">
        <w:rPr>
          <w:b/>
          <w:bCs/>
        </w:rPr>
        <w:t>Codex</w:t>
      </w:r>
      <w:proofErr w:type="spellEnd"/>
      <w:r w:rsidRPr="004610EE">
        <w:rPr>
          <w:b/>
          <w:bCs/>
        </w:rPr>
        <w:t xml:space="preserve"> </w:t>
      </w:r>
      <w:proofErr w:type="spellStart"/>
      <w:r w:rsidRPr="004610EE">
        <w:rPr>
          <w:b/>
          <w:bCs/>
        </w:rPr>
        <w:t>Sinaiticus</w:t>
      </w:r>
      <w:proofErr w:type="spellEnd"/>
      <w:r w:rsidRPr="004610EE">
        <w:t xml:space="preserve"> (IV. század): Ez az egyik legteljesebb és legrégebbi görög Újszövetségi kódex, mely tartalmazza mindhárom </w:t>
      </w:r>
      <w:proofErr w:type="spellStart"/>
      <w:r w:rsidRPr="004610EE">
        <w:t>pásztorális</w:t>
      </w:r>
      <w:proofErr w:type="spellEnd"/>
      <w:r w:rsidRPr="004610EE">
        <w:t xml:space="preserve"> levelet (1 Timóteus, 2 Timóteus, Titusz).</w:t>
      </w:r>
    </w:p>
    <w:p w14:paraId="350731F9" w14:textId="77777777" w:rsidR="004610EE" w:rsidRPr="004610EE" w:rsidRDefault="004610EE" w:rsidP="004610EE">
      <w:pPr>
        <w:numPr>
          <w:ilvl w:val="0"/>
          <w:numId w:val="13"/>
        </w:numPr>
      </w:pPr>
      <w:proofErr w:type="spellStart"/>
      <w:r w:rsidRPr="004610EE">
        <w:rPr>
          <w:b/>
          <w:bCs/>
        </w:rPr>
        <w:t>Codex</w:t>
      </w:r>
      <w:proofErr w:type="spellEnd"/>
      <w:r w:rsidRPr="004610EE">
        <w:rPr>
          <w:b/>
          <w:bCs/>
        </w:rPr>
        <w:t xml:space="preserve"> </w:t>
      </w:r>
      <w:proofErr w:type="spellStart"/>
      <w:r w:rsidRPr="004610EE">
        <w:rPr>
          <w:b/>
          <w:bCs/>
        </w:rPr>
        <w:t>Vaticanus</w:t>
      </w:r>
      <w:proofErr w:type="spellEnd"/>
      <w:r w:rsidRPr="004610EE">
        <w:t xml:space="preserve"> (IV. század): Egy másik igen fontos kódex, amely részben tartalmazza a </w:t>
      </w:r>
      <w:proofErr w:type="spellStart"/>
      <w:r w:rsidRPr="004610EE">
        <w:t>pásztorális</w:t>
      </w:r>
      <w:proofErr w:type="spellEnd"/>
      <w:r w:rsidRPr="004610EE">
        <w:t xml:space="preserve"> leveleket is, bár ebben kisebb hiányosságok vannak.</w:t>
      </w:r>
    </w:p>
    <w:p w14:paraId="7014ED8E" w14:textId="77777777" w:rsidR="004610EE" w:rsidRPr="004610EE" w:rsidRDefault="004610EE" w:rsidP="004610EE">
      <w:pPr>
        <w:numPr>
          <w:ilvl w:val="0"/>
          <w:numId w:val="13"/>
        </w:numPr>
      </w:pPr>
      <w:proofErr w:type="spellStart"/>
      <w:r w:rsidRPr="004610EE">
        <w:rPr>
          <w:b/>
          <w:bCs/>
        </w:rPr>
        <w:t>Codex</w:t>
      </w:r>
      <w:proofErr w:type="spellEnd"/>
      <w:r w:rsidRPr="004610EE">
        <w:rPr>
          <w:b/>
          <w:bCs/>
        </w:rPr>
        <w:t xml:space="preserve"> Alexandrinus</w:t>
      </w:r>
      <w:r w:rsidRPr="004610EE">
        <w:t> (V. század): Ez az egyik legkorábbi teljes Újszövetségi kézirat, mely tartalmazza az apostoli leveleket, köztük a Timóteus és Titusz leveleket.</w:t>
      </w:r>
    </w:p>
    <w:p w14:paraId="6DEA4117" w14:textId="024F55C9" w:rsidR="004610EE" w:rsidRPr="004610EE" w:rsidRDefault="004610EE" w:rsidP="004610EE">
      <w:r w:rsidRPr="004610EE">
        <w:t>Ezek a kódexek a p</w:t>
      </w:r>
      <w:r>
        <w:t>a</w:t>
      </w:r>
      <w:r w:rsidRPr="004610EE">
        <w:t xml:space="preserve">sztorális levelek legkorábbi hiteles forrásai, és alapjául szolgálnak a mai bibliai szövegváltozatoknak. Keletkezési időpontjuk a IV-V. század fordulójára tehető, ami jóval idősebb a levelek feltételezett keletkezési </w:t>
      </w:r>
      <w:proofErr w:type="spellStart"/>
      <w:r w:rsidRPr="004610EE">
        <w:t>idejénél</w:t>
      </w:r>
      <w:proofErr w:type="spellEnd"/>
      <w:r w:rsidRPr="004610EE">
        <w:t xml:space="preserve"> (i. sz. 90 körül).</w:t>
      </w:r>
    </w:p>
    <w:bookmarkEnd w:id="0"/>
    <w:p w14:paraId="6CAC8988" w14:textId="77777777" w:rsidR="009B72DC" w:rsidRPr="008A60D4" w:rsidRDefault="009B72DC" w:rsidP="008A60D4"/>
    <w:sectPr w:rsidR="009B72DC" w:rsidRPr="008A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A2B"/>
    <w:multiLevelType w:val="multilevel"/>
    <w:tmpl w:val="91E0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524FC"/>
    <w:multiLevelType w:val="multilevel"/>
    <w:tmpl w:val="3DD6A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40F36AC"/>
    <w:multiLevelType w:val="multilevel"/>
    <w:tmpl w:val="4D02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7937B3"/>
    <w:multiLevelType w:val="multilevel"/>
    <w:tmpl w:val="F668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FE0B78"/>
    <w:multiLevelType w:val="multilevel"/>
    <w:tmpl w:val="403A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251702"/>
    <w:multiLevelType w:val="multilevel"/>
    <w:tmpl w:val="9A5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DF31B1"/>
    <w:multiLevelType w:val="multilevel"/>
    <w:tmpl w:val="FF4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F847C9"/>
    <w:multiLevelType w:val="multilevel"/>
    <w:tmpl w:val="71B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3159B8"/>
    <w:multiLevelType w:val="multilevel"/>
    <w:tmpl w:val="3D4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9F5B4A"/>
    <w:multiLevelType w:val="multilevel"/>
    <w:tmpl w:val="E330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287442"/>
    <w:multiLevelType w:val="multilevel"/>
    <w:tmpl w:val="9E34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922B14"/>
    <w:multiLevelType w:val="multilevel"/>
    <w:tmpl w:val="B3B2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2855545">
    <w:abstractNumId w:val="6"/>
  </w:num>
  <w:num w:numId="2" w16cid:durableId="81993886">
    <w:abstractNumId w:val="6"/>
    <w:lvlOverride w:ilvl="1">
      <w:startOverride w:val="2"/>
    </w:lvlOverride>
  </w:num>
  <w:num w:numId="3" w16cid:durableId="1880774532">
    <w:abstractNumId w:val="5"/>
  </w:num>
  <w:num w:numId="4" w16cid:durableId="1773428921">
    <w:abstractNumId w:val="1"/>
  </w:num>
  <w:num w:numId="5" w16cid:durableId="1118447932">
    <w:abstractNumId w:val="11"/>
  </w:num>
  <w:num w:numId="6" w16cid:durableId="1313869888">
    <w:abstractNumId w:val="2"/>
  </w:num>
  <w:num w:numId="7" w16cid:durableId="1745183014">
    <w:abstractNumId w:val="7"/>
  </w:num>
  <w:num w:numId="8" w16cid:durableId="1461538153">
    <w:abstractNumId w:val="0"/>
  </w:num>
  <w:num w:numId="9" w16cid:durableId="259798276">
    <w:abstractNumId w:val="9"/>
  </w:num>
  <w:num w:numId="10" w16cid:durableId="1063913205">
    <w:abstractNumId w:val="3"/>
  </w:num>
  <w:num w:numId="11" w16cid:durableId="559287035">
    <w:abstractNumId w:val="4"/>
  </w:num>
  <w:num w:numId="12" w16cid:durableId="279655671">
    <w:abstractNumId w:val="10"/>
  </w:num>
  <w:num w:numId="13" w16cid:durableId="728381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D4"/>
    <w:rsid w:val="000972E4"/>
    <w:rsid w:val="00277608"/>
    <w:rsid w:val="004610EE"/>
    <w:rsid w:val="007044CD"/>
    <w:rsid w:val="008A60D4"/>
    <w:rsid w:val="009B72DC"/>
    <w:rsid w:val="00B12784"/>
    <w:rsid w:val="00D16D13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BC9B"/>
  <w15:chartTrackingRefBased/>
  <w15:docId w15:val="{D23F769A-C490-41D5-A095-73192D6A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A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6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6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6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6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60D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60D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60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60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60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60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6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6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60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60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60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60D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6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48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6528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47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71942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83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46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586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815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912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5186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47971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95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47718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06845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7750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4127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678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8342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10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47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8091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9292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04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1205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3</cp:revision>
  <dcterms:created xsi:type="dcterms:W3CDTF">2025-10-11T20:17:00Z</dcterms:created>
  <dcterms:modified xsi:type="dcterms:W3CDTF">2025-10-14T15:08:00Z</dcterms:modified>
</cp:coreProperties>
</file>